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2832AA" w:rsidRDefault="00DD5980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город октябрьский Республики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</w:t>
            </w:r>
          </w:p>
          <w:p w:rsidR="002832AA" w:rsidRDefault="00EE1AD5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№ 360</w:t>
            </w:r>
            <w:r w:rsidR="00DD5980"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условий приватизации объекта муниципального нежилого фонда с кадастровым номером 02:57:020302:1235, расположенного по адресу: г. Октябрьский, ул. Ак. Королева, д. 7»</w:t>
            </w:r>
            <w:r w:rsidR="00DD5980"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E43" w:rsidRPr="00E40E43" w:rsidRDefault="00EE1AD5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 № 766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продаже посредством публичного предложения и внесении изменений в условия приватизации объекта муниципального нежилого фонда – нежилого здания с кадастровым номером 02:57:020302:1235 общей площадью 2451,4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расположенного по адресу: Республика Башкортостан, </w:t>
            </w:r>
          </w:p>
          <w:p w:rsidR="002832AA" w:rsidRDefault="00E40E43" w:rsidP="002832AA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Ак. Королева, д.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D5980" w:rsidRDefault="002832AA" w:rsidP="002832AA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06.05.2024 № 1045 «О проведении повторной продажи</w:t>
            </w:r>
            <w:r>
              <w:t xml:space="preserve"> </w:t>
            </w:r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публичного предложения</w:t>
            </w:r>
            <w:r>
              <w:t xml:space="preserve"> </w:t>
            </w:r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муниципального нежилого фонда – нежилого здания с кадастровым номером 02:57:020302:1235 общей площадью 2451,4 </w:t>
            </w:r>
            <w:proofErr w:type="spellStart"/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расположенного по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ресу: Республика Башкортостан, </w:t>
            </w:r>
            <w:r w:rsidRP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Ак. Королева, д. 7»</w:t>
            </w:r>
          </w:p>
          <w:p w:rsidR="002832AA" w:rsidRPr="00CF22E3" w:rsidRDefault="002832AA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нежилое здание с кадастровым номером 02:57:020302:1235 площадью 2451,4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расположенное на земельном участке с кадастровым номером 02:57:020302:749, общей площадью 2997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 адресу: Республика Башкортостан, г. </w:t>
            </w:r>
            <w:proofErr w:type="gram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Октябрьский,   </w:t>
            </w:r>
            <w:proofErr w:type="gram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ул.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Ак.Королева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16 040 000,00 рублей (шестнадцать миллионов сорок тысяч рублей 00 коп.) с учетом НДС 1 828 333,33 рубля (один миллион восемьсот двадцать восемь тысяч триста тридцать три рубля 33 коп.), в том числе:</w:t>
            </w:r>
          </w:p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нежилого здания – 10 970 000,00 рублей (десять миллионов девятьсот семьдесят тысяч рублей 00 коп.), в том числе НДС 1 828 333,33 рубля (один миллион восемьсот двадцать восемь тысяч триста тридцать три рубля 33 коп.);</w:t>
            </w:r>
          </w:p>
          <w:p w:rsidR="00DD5980" w:rsidRPr="006D17F2" w:rsidRDefault="00E40E43" w:rsidP="00E40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земельного участка – 5 070 000,00 рублей (пять миллионов семьдесят тысяч рублей 00 коп.</w:t>
            </w:r>
            <w:proofErr w:type="gramStart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E4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1 604 000,00</w:t>
            </w:r>
            <w:r w:rsidR="00EE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8 020 000,00 рублей (восемь миллионов двадцать тысяч) в том числе:</w:t>
            </w:r>
          </w:p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нежилого здания – 5 485 000,00 рублей (пять миллионов </w:t>
            </w:r>
            <w:proofErr w:type="spellStart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четареста</w:t>
            </w:r>
            <w:proofErr w:type="spellEnd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восемьдесят пять тысяч), в том числе НДС 914 166,67 рублей (девятьсот четырнадцать тысяч сто шестьдесят шесть рублей 67 коп.);</w:t>
            </w:r>
          </w:p>
          <w:p w:rsidR="00EE1AD5" w:rsidRPr="00490C34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земельного участка – 2 535 000,00 рублей (два миллиона пятьсот тридцать пять тысяч).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802 000,00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1 604 000,00 рублей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A93556" w:rsidRDefault="00FC66CC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назначенный на   </w:t>
            </w:r>
            <w:r w:rsidR="00E40E43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не состоявшимс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я, по причине отсутствия заявок;</w:t>
            </w:r>
          </w:p>
          <w:p w:rsidR="00DD5980" w:rsidRPr="002B7C6B" w:rsidRDefault="00101953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назначенная на 06.05.2024 не состоялась, по причине отсутствия заявок.</w:t>
            </w:r>
            <w:bookmarkStart w:id="0" w:name="_GoBack"/>
            <w:bookmarkEnd w:id="0"/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E40E43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0E43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</w:t>
            </w:r>
            <w:r w:rsidR="009A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мая </w:t>
            </w:r>
            <w:r w:rsidR="00E40E4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8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03 июня </w:t>
            </w:r>
            <w:r w:rsidR="00E40E4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8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до 18.00</w:t>
            </w:r>
            <w:r w:rsidR="002832AA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AA" w:rsidRPr="005B019B">
              <w:rPr>
                <w:rFonts w:ascii="Times New Roman" w:hAnsi="Times New Roman" w:cs="Times New Roman"/>
                <w:sz w:val="24"/>
                <w:szCs w:val="24"/>
              </w:rPr>
              <w:t>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9A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осмотра предмета </w:t>
            </w:r>
            <w:r w:rsidR="009A0702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FB7003" w:rsidRPr="00A87D9A" w:rsidRDefault="00FB7003" w:rsidP="0028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производится </w:t>
            </w:r>
            <w:r w:rsidR="002832A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 xml:space="preserve">.2024, </w:t>
            </w:r>
            <w:r w:rsidR="002832A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 xml:space="preserve">.2024, </w:t>
            </w:r>
            <w:r w:rsidR="002832A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 xml:space="preserve">.2024, </w:t>
            </w:r>
            <w:r w:rsidR="002832A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</w:t>
            </w:r>
            <w:r w:rsidRPr="00F6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83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05  июня </w:t>
            </w:r>
            <w:r w:rsidR="00527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  <w:r w:rsidR="00283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07 июня </w:t>
            </w:r>
            <w:r w:rsidR="00527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="0028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13.1. Процедура продажи имущества проводится в день и </w:t>
            </w:r>
            <w:proofErr w:type="gram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</w:t>
            </w: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2832A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28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07.06.</w:t>
            </w:r>
            <w:r w:rsidR="00527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 рабочих дней со дня поступления запроса продавец предоставляет организатору для размещения в открытом доступе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A0702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A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702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02:57:020302:1235 площ</w:t>
      </w:r>
      <w:r w:rsidR="009A0702">
        <w:rPr>
          <w:rFonts w:ascii="Times New Roman" w:hAnsi="Times New Roman" w:cs="Times New Roman"/>
          <w:b/>
          <w:sz w:val="24"/>
          <w:szCs w:val="24"/>
        </w:rPr>
        <w:t xml:space="preserve">адью 2451,4 </w:t>
      </w:r>
      <w:proofErr w:type="spellStart"/>
      <w:r w:rsidR="009A070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9A0702">
        <w:rPr>
          <w:rFonts w:ascii="Times New Roman" w:hAnsi="Times New Roman" w:cs="Times New Roman"/>
          <w:b/>
          <w:sz w:val="24"/>
          <w:szCs w:val="24"/>
        </w:rPr>
        <w:t>., расположенного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. по адресу: Республика Башкортостан, г. </w:t>
      </w:r>
      <w:proofErr w:type="gram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О</w:t>
      </w:r>
      <w:r w:rsidR="009A0702">
        <w:rPr>
          <w:rFonts w:ascii="Times New Roman" w:hAnsi="Times New Roman" w:cs="Times New Roman"/>
          <w:b/>
          <w:sz w:val="24"/>
          <w:szCs w:val="24"/>
        </w:rPr>
        <w:t xml:space="preserve">ктябрьский,  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>ул.</w:t>
      </w:r>
      <w:proofErr w:type="gramEnd"/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Ак.Королева</w:t>
      </w:r>
      <w:proofErr w:type="spellEnd"/>
      <w:r w:rsidR="009A0702" w:rsidRPr="009A0702">
        <w:rPr>
          <w:rFonts w:ascii="Times New Roman" w:hAnsi="Times New Roman" w:cs="Times New Roman"/>
          <w:b/>
          <w:sz w:val="24"/>
          <w:szCs w:val="24"/>
        </w:rPr>
        <w:t>, д. 7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02:57:020302:1235 площадью 2451,4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>. по адресу: Республика Башкортостан, г. О</w:t>
      </w:r>
      <w:r w:rsidR="009A0702">
        <w:rPr>
          <w:rFonts w:ascii="Times New Roman" w:eastAsia="Times New Roman" w:hAnsi="Times New Roman" w:cs="Times New Roman"/>
          <w:lang w:eastAsia="ru-RU"/>
        </w:rPr>
        <w:t xml:space="preserve">ктябрьский, </w:t>
      </w:r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Ак.Королева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>, д. 7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с кадастровым номером 02:57:020302:1235 площадью 2451,4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адресу: Республика Башкортостан, г. О</w:t>
      </w:r>
      <w:r w:rsid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ктябрьский,  </w:t>
      </w:r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Ак.Королева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1953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832AA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505D3C"/>
    <w:rsid w:val="0051185D"/>
    <w:rsid w:val="00513BCF"/>
    <w:rsid w:val="00520C13"/>
    <w:rsid w:val="005239C9"/>
    <w:rsid w:val="0052540E"/>
    <w:rsid w:val="0052760B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650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0702"/>
    <w:rsid w:val="009A2B11"/>
    <w:rsid w:val="009A3E3D"/>
    <w:rsid w:val="009B38B8"/>
    <w:rsid w:val="009B6D9D"/>
    <w:rsid w:val="009C3F6C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3556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B7C4C"/>
    <w:rsid w:val="00DC1C4D"/>
    <w:rsid w:val="00DC64C2"/>
    <w:rsid w:val="00DD1A3E"/>
    <w:rsid w:val="00DD4D59"/>
    <w:rsid w:val="00DD5980"/>
    <w:rsid w:val="00DE61ED"/>
    <w:rsid w:val="00DF1A00"/>
    <w:rsid w:val="00E14DAF"/>
    <w:rsid w:val="00E31752"/>
    <w:rsid w:val="00E40609"/>
    <w:rsid w:val="00E40E43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3300-D4A8-40DA-A8AD-954479D7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18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44</cp:revision>
  <cp:lastPrinted>2024-04-04T14:32:00Z</cp:lastPrinted>
  <dcterms:created xsi:type="dcterms:W3CDTF">2021-10-04T05:36:00Z</dcterms:created>
  <dcterms:modified xsi:type="dcterms:W3CDTF">2024-05-07T14:43:00Z</dcterms:modified>
</cp:coreProperties>
</file>